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72" w:rsidRPr="009C4872" w:rsidRDefault="009C4872" w:rsidP="009C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9C4872">
        <w:rPr>
          <w:b/>
          <w:sz w:val="28"/>
          <w:szCs w:val="28"/>
        </w:rPr>
        <w:t>Projet  Léonardo OPC-SFC :</w:t>
      </w:r>
    </w:p>
    <w:p w:rsidR="009C4872" w:rsidRDefault="009C4872" w:rsidP="009C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9C4872">
        <w:rPr>
          <w:b/>
          <w:sz w:val="28"/>
          <w:szCs w:val="28"/>
        </w:rPr>
        <w:t>Tableau comparatif des outils à transférer</w:t>
      </w:r>
    </w:p>
    <w:p w:rsidR="007C1EE8" w:rsidRDefault="001D305A" w:rsidP="00237BD7">
      <w:pPr>
        <w:jc w:val="both"/>
      </w:pPr>
      <w:r>
        <w:t>Les</w:t>
      </w:r>
      <w:r w:rsidR="00061691">
        <w:t xml:space="preserve"> </w:t>
      </w:r>
      <w:r w:rsidR="00765EEF" w:rsidRPr="00061691">
        <w:t>objectifs</w:t>
      </w:r>
      <w:r w:rsidR="00D24243">
        <w:t xml:space="preserve"> opérationnels du projet </w:t>
      </w:r>
      <w:r>
        <w:t xml:space="preserve">OPC-SFC sont de transférer des outils de formation permettant de définir et de développer les </w:t>
      </w:r>
      <w:r w:rsidR="00237BD7">
        <w:t>savoir-faire</w:t>
      </w:r>
      <w:r>
        <w:t xml:space="preserve"> comportementaux en situation professionnelle</w:t>
      </w:r>
      <w:r w:rsidR="00237BD7">
        <w:t xml:space="preserve"> et</w:t>
      </w:r>
      <w:r w:rsidR="00DE2C9E">
        <w:t>,</w:t>
      </w:r>
      <w:r w:rsidR="00237BD7">
        <w:t xml:space="preserve"> sur cette base, </w:t>
      </w:r>
      <w:r w:rsidR="007C1EE8">
        <w:t xml:space="preserve">de </w:t>
      </w:r>
      <w:r w:rsidR="00237BD7">
        <w:t xml:space="preserve">comparer et </w:t>
      </w:r>
      <w:r w:rsidR="007C1EE8">
        <w:t>d’</w:t>
      </w:r>
      <w:r w:rsidR="00237BD7">
        <w:t xml:space="preserve">analyser les méthodes pédagogiques mises en œuvre chez les partenaires afin d’en dégager les facteurs de succès et les recommandations méthodologiques. </w:t>
      </w:r>
      <w:r w:rsidR="00765EEF" w:rsidRPr="00061691">
        <w:t xml:space="preserve"> </w:t>
      </w:r>
    </w:p>
    <w:p w:rsidR="00765EEF" w:rsidRPr="00061691" w:rsidRDefault="00237BD7" w:rsidP="00237BD7">
      <w:pPr>
        <w:jc w:val="both"/>
      </w:pPr>
      <w:r w:rsidRPr="00DE2C9E">
        <w:rPr>
          <w:b/>
        </w:rPr>
        <w:t>3 outils</w:t>
      </w:r>
      <w:r>
        <w:t xml:space="preserve"> ont été proposés pour le transfert. Ci-dessous, vous trouverez un tableau comparant les contenus, objectifs et avantages de chacun de ces outils. Celui-ci permet aux partenaires du projet de </w:t>
      </w:r>
      <w:r w:rsidR="00765EEF" w:rsidRPr="00061691">
        <w:t>se saisir de l’outil le plus adapté</w:t>
      </w:r>
      <w:r>
        <w:t xml:space="preserve"> à son environnement.</w:t>
      </w:r>
    </w:p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2009"/>
        <w:gridCol w:w="4228"/>
        <w:gridCol w:w="4395"/>
        <w:gridCol w:w="4394"/>
      </w:tblGrid>
      <w:tr w:rsidR="00146A69" w:rsidTr="00DE2C9E">
        <w:tc>
          <w:tcPr>
            <w:tcW w:w="2009" w:type="dxa"/>
            <w:tcBorders>
              <w:bottom w:val="single" w:sz="4" w:space="0" w:color="auto"/>
            </w:tcBorders>
            <w:shd w:val="clear" w:color="auto" w:fill="92D050"/>
          </w:tcPr>
          <w:p w:rsidR="009C4872" w:rsidRDefault="00087519" w:rsidP="009C4872">
            <w:pPr>
              <w:rPr>
                <w:sz w:val="28"/>
                <w:szCs w:val="28"/>
              </w:rPr>
            </w:pPr>
            <w:r w:rsidRPr="00087519">
              <w:rPr>
                <w:b/>
                <w:sz w:val="24"/>
                <w:szCs w:val="24"/>
              </w:rPr>
              <w:t>Ou</w:t>
            </w:r>
            <w:bookmarkStart w:id="0" w:name="_GoBack"/>
            <w:bookmarkEnd w:id="0"/>
            <w:r w:rsidRPr="00087519">
              <w:rPr>
                <w:b/>
                <w:sz w:val="24"/>
                <w:szCs w:val="24"/>
              </w:rPr>
              <w:t>tils</w:t>
            </w:r>
          </w:p>
        </w:tc>
        <w:tc>
          <w:tcPr>
            <w:tcW w:w="4228" w:type="dxa"/>
            <w:shd w:val="clear" w:color="auto" w:fill="92D050"/>
          </w:tcPr>
          <w:p w:rsidR="009C4872" w:rsidRPr="00087519" w:rsidRDefault="00087519" w:rsidP="009C4872">
            <w:pPr>
              <w:jc w:val="center"/>
              <w:rPr>
                <w:b/>
                <w:sz w:val="28"/>
                <w:szCs w:val="28"/>
              </w:rPr>
            </w:pPr>
            <w:r w:rsidRPr="00087519">
              <w:rPr>
                <w:b/>
              </w:rPr>
              <w:t>« Ces compétences qui font la différence à l’emploi »</w:t>
            </w:r>
          </w:p>
        </w:tc>
        <w:tc>
          <w:tcPr>
            <w:tcW w:w="4395" w:type="dxa"/>
            <w:shd w:val="clear" w:color="auto" w:fill="92D050"/>
          </w:tcPr>
          <w:p w:rsidR="009C4872" w:rsidRPr="00087519" w:rsidRDefault="00087519" w:rsidP="009C4872">
            <w:pPr>
              <w:jc w:val="center"/>
              <w:rPr>
                <w:b/>
                <w:sz w:val="28"/>
                <w:szCs w:val="28"/>
              </w:rPr>
            </w:pPr>
            <w:r w:rsidRPr="00087519">
              <w:rPr>
                <w:b/>
              </w:rPr>
              <w:t>Projet « Compétences transversales »</w:t>
            </w:r>
          </w:p>
        </w:tc>
        <w:tc>
          <w:tcPr>
            <w:tcW w:w="4394" w:type="dxa"/>
            <w:shd w:val="clear" w:color="auto" w:fill="92D050"/>
          </w:tcPr>
          <w:p w:rsidR="009C4872" w:rsidRPr="00087519" w:rsidRDefault="00087519" w:rsidP="009C4872">
            <w:pPr>
              <w:jc w:val="center"/>
              <w:rPr>
                <w:b/>
                <w:sz w:val="28"/>
                <w:szCs w:val="28"/>
              </w:rPr>
            </w:pPr>
            <w:r w:rsidRPr="00087519">
              <w:rPr>
                <w:b/>
              </w:rPr>
              <w:t>Grille d’observation des SFC</w:t>
            </w:r>
          </w:p>
        </w:tc>
      </w:tr>
      <w:tr w:rsidR="00146A69" w:rsidTr="00DE2C9E">
        <w:tc>
          <w:tcPr>
            <w:tcW w:w="2009" w:type="dxa"/>
            <w:shd w:val="clear" w:color="auto" w:fill="00B0F0"/>
          </w:tcPr>
          <w:p w:rsidR="009C4872" w:rsidRPr="009C4872" w:rsidRDefault="009C4872" w:rsidP="009C4872">
            <w:pPr>
              <w:rPr>
                <w:b/>
                <w:sz w:val="24"/>
                <w:szCs w:val="24"/>
              </w:rPr>
            </w:pPr>
            <w:r w:rsidRPr="009C4872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228" w:type="dxa"/>
          </w:tcPr>
          <w:p w:rsidR="009C4872" w:rsidRPr="009C4872" w:rsidRDefault="009C4872" w:rsidP="009C4872">
            <w:r>
              <w:t>AID asbl</w:t>
            </w:r>
          </w:p>
        </w:tc>
        <w:tc>
          <w:tcPr>
            <w:tcW w:w="4395" w:type="dxa"/>
          </w:tcPr>
          <w:p w:rsidR="009C4872" w:rsidRPr="009C4872" w:rsidRDefault="00EE6399" w:rsidP="009C4872">
            <w:r>
              <w:t>CSEF de Tournai</w:t>
            </w:r>
          </w:p>
        </w:tc>
        <w:tc>
          <w:tcPr>
            <w:tcW w:w="4394" w:type="dxa"/>
          </w:tcPr>
          <w:p w:rsidR="009C4872" w:rsidRPr="009C4872" w:rsidRDefault="00EE6399" w:rsidP="009C4872">
            <w:r>
              <w:t>Forem</w:t>
            </w:r>
          </w:p>
        </w:tc>
      </w:tr>
      <w:tr w:rsidR="00146A69" w:rsidTr="00DE2C9E">
        <w:tc>
          <w:tcPr>
            <w:tcW w:w="2009" w:type="dxa"/>
            <w:shd w:val="clear" w:color="auto" w:fill="00B0F0"/>
          </w:tcPr>
          <w:p w:rsidR="00146A69" w:rsidRDefault="00146A69" w:rsidP="009C4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Utilisateurs/</w:t>
            </w:r>
            <w:proofErr w:type="spellStart"/>
            <w:r>
              <w:rPr>
                <w:b/>
                <w:sz w:val="24"/>
                <w:szCs w:val="24"/>
              </w:rPr>
              <w:t>trices</w:t>
            </w:r>
            <w:proofErr w:type="spellEnd"/>
          </w:p>
        </w:tc>
        <w:tc>
          <w:tcPr>
            <w:tcW w:w="4228" w:type="dxa"/>
          </w:tcPr>
          <w:p w:rsidR="00146A69" w:rsidRDefault="00146A69" w:rsidP="00146A69">
            <w:r>
              <w:t>Formateurs/formatrices</w:t>
            </w:r>
          </w:p>
        </w:tc>
        <w:tc>
          <w:tcPr>
            <w:tcW w:w="4395" w:type="dxa"/>
          </w:tcPr>
          <w:p w:rsidR="00146A69" w:rsidRDefault="00146A69" w:rsidP="009C4872">
            <w:r>
              <w:t>Formateurs/formatrices</w:t>
            </w:r>
          </w:p>
        </w:tc>
        <w:tc>
          <w:tcPr>
            <w:tcW w:w="4394" w:type="dxa"/>
          </w:tcPr>
          <w:p w:rsidR="00146A69" w:rsidRDefault="00146A69" w:rsidP="00146A69">
            <w:pPr>
              <w:pStyle w:val="Paragraphedeliste"/>
              <w:numPr>
                <w:ilvl w:val="0"/>
                <w:numId w:val="3"/>
              </w:numPr>
              <w:ind w:left="137" w:hanging="137"/>
            </w:pPr>
            <w:r>
              <w:t>Formateurs/formatrices</w:t>
            </w:r>
          </w:p>
          <w:p w:rsidR="00146A69" w:rsidRDefault="00146A69" w:rsidP="00146A69">
            <w:pPr>
              <w:pStyle w:val="Paragraphedeliste"/>
              <w:numPr>
                <w:ilvl w:val="0"/>
                <w:numId w:val="3"/>
              </w:numPr>
              <w:ind w:left="137" w:hanging="137"/>
            </w:pPr>
            <w:r>
              <w:t>Stagiaires en formation</w:t>
            </w:r>
          </w:p>
        </w:tc>
      </w:tr>
      <w:tr w:rsidR="00146A69" w:rsidTr="00DE2C9E">
        <w:tc>
          <w:tcPr>
            <w:tcW w:w="2009" w:type="dxa"/>
            <w:shd w:val="clear" w:color="auto" w:fill="00B0F0"/>
          </w:tcPr>
          <w:p w:rsidR="00146A69" w:rsidRDefault="00146A69" w:rsidP="009C4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Bénéficiaire final</w:t>
            </w:r>
          </w:p>
        </w:tc>
        <w:tc>
          <w:tcPr>
            <w:tcW w:w="4228" w:type="dxa"/>
          </w:tcPr>
          <w:p w:rsidR="00146A69" w:rsidRDefault="00146A69" w:rsidP="00146A69">
            <w:r>
              <w:t>Stagiaire en formation</w:t>
            </w:r>
          </w:p>
        </w:tc>
        <w:tc>
          <w:tcPr>
            <w:tcW w:w="4395" w:type="dxa"/>
          </w:tcPr>
          <w:p w:rsidR="00146A69" w:rsidRDefault="00146A69" w:rsidP="00146A69">
            <w:r>
              <w:t>Stagiaire en formation</w:t>
            </w:r>
          </w:p>
        </w:tc>
        <w:tc>
          <w:tcPr>
            <w:tcW w:w="4394" w:type="dxa"/>
          </w:tcPr>
          <w:p w:rsidR="00146A69" w:rsidRDefault="00146A69" w:rsidP="00146A69">
            <w:r>
              <w:t>Stagiaire en formation</w:t>
            </w:r>
          </w:p>
        </w:tc>
      </w:tr>
      <w:tr w:rsidR="00146A69" w:rsidTr="00DE2C9E">
        <w:tc>
          <w:tcPr>
            <w:tcW w:w="2009" w:type="dxa"/>
            <w:shd w:val="clear" w:color="auto" w:fill="00B0F0"/>
          </w:tcPr>
          <w:p w:rsidR="009C4872" w:rsidRPr="009C4872" w:rsidRDefault="009C4872" w:rsidP="009C4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Contenu </w:t>
            </w:r>
          </w:p>
        </w:tc>
        <w:tc>
          <w:tcPr>
            <w:tcW w:w="4228" w:type="dxa"/>
          </w:tcPr>
          <w:p w:rsidR="009C4872" w:rsidRDefault="009C4872" w:rsidP="009C4872">
            <w:pPr>
              <w:pStyle w:val="Paragraphedeliste"/>
              <w:numPr>
                <w:ilvl w:val="0"/>
                <w:numId w:val="1"/>
              </w:numPr>
              <w:ind w:left="175" w:hanging="142"/>
            </w:pPr>
            <w:r>
              <w:t>Guide pédagogique</w:t>
            </w:r>
            <w:r w:rsidR="002570D4">
              <w:t xml:space="preserve"> sous forme de fiches pédagogiques d’activités de formation</w:t>
            </w:r>
          </w:p>
          <w:p w:rsidR="009C4872" w:rsidRPr="009C4872" w:rsidRDefault="009C4872" w:rsidP="009C4872">
            <w:pPr>
              <w:pStyle w:val="Paragraphedeliste"/>
              <w:numPr>
                <w:ilvl w:val="0"/>
                <w:numId w:val="1"/>
              </w:numPr>
              <w:ind w:left="175" w:hanging="142"/>
            </w:pPr>
            <w:r>
              <w:t>Outil multimédia de socialisation professionnelle à l’usage des formateurs et des stagiaires</w:t>
            </w:r>
            <w:r w:rsidR="00EE6399">
              <w:t>, sous la forme d’un DVD présentant les témoignages d’employeurs</w:t>
            </w:r>
          </w:p>
        </w:tc>
        <w:tc>
          <w:tcPr>
            <w:tcW w:w="4395" w:type="dxa"/>
          </w:tcPr>
          <w:p w:rsidR="009C4872" w:rsidRPr="009C4872" w:rsidRDefault="00EE6399" w:rsidP="009C4872">
            <w:r>
              <w:t>3 grilles d’évaluation pour 3 métiers : maçon</w:t>
            </w:r>
            <w:r w:rsidR="002A6A7A">
              <w:t xml:space="preserve"> (évaluation sommative/formative)</w:t>
            </w:r>
            <w:r>
              <w:t xml:space="preserve">, employé de bureau </w:t>
            </w:r>
            <w:r w:rsidR="002A6A7A">
              <w:t xml:space="preserve">(évaluation formative) </w:t>
            </w:r>
            <w:r>
              <w:t xml:space="preserve">et vendeur </w:t>
            </w:r>
            <w:r w:rsidR="002A6A7A">
              <w:t>(auto évaluation et évaluation diagnostique)</w:t>
            </w:r>
          </w:p>
        </w:tc>
        <w:tc>
          <w:tcPr>
            <w:tcW w:w="4394" w:type="dxa"/>
          </w:tcPr>
          <w:p w:rsidR="009C4872" w:rsidRDefault="00EE6399" w:rsidP="00EE6399">
            <w:pPr>
              <w:pStyle w:val="Paragraphedeliste"/>
              <w:numPr>
                <w:ilvl w:val="0"/>
                <w:numId w:val="1"/>
              </w:numPr>
              <w:ind w:left="176" w:hanging="176"/>
            </w:pPr>
            <w:r>
              <w:t>Grille d’observation des compétences transversales</w:t>
            </w:r>
          </w:p>
          <w:p w:rsidR="00EE6399" w:rsidRDefault="00EE6399" w:rsidP="00EE6399">
            <w:pPr>
              <w:pStyle w:val="Paragraphedeliste"/>
              <w:numPr>
                <w:ilvl w:val="0"/>
                <w:numId w:val="1"/>
              </w:numPr>
              <w:ind w:left="176" w:hanging="176"/>
            </w:pPr>
            <w:r>
              <w:t>Grille à l’usage du formateur</w:t>
            </w:r>
          </w:p>
          <w:p w:rsidR="00EE6399" w:rsidRDefault="00EE6399" w:rsidP="00EE6399">
            <w:pPr>
              <w:pStyle w:val="Paragraphedeliste"/>
              <w:numPr>
                <w:ilvl w:val="0"/>
                <w:numId w:val="1"/>
              </w:numPr>
              <w:ind w:left="176" w:hanging="176"/>
            </w:pPr>
            <w:r>
              <w:t>Grille d’évaluation vierge</w:t>
            </w:r>
          </w:p>
          <w:p w:rsidR="00EE6399" w:rsidRPr="009C4872" w:rsidRDefault="00EE6399" w:rsidP="00EE6399">
            <w:pPr>
              <w:pStyle w:val="Paragraphedeliste"/>
              <w:numPr>
                <w:ilvl w:val="0"/>
                <w:numId w:val="1"/>
              </w:numPr>
              <w:ind w:left="176" w:hanging="176"/>
            </w:pPr>
            <w:r>
              <w:t>Grille d’observation des comportements</w:t>
            </w:r>
          </w:p>
        </w:tc>
      </w:tr>
      <w:tr w:rsidR="00146A69" w:rsidTr="00DE2C9E">
        <w:tc>
          <w:tcPr>
            <w:tcW w:w="2009" w:type="dxa"/>
            <w:shd w:val="clear" w:color="auto" w:fill="00B0F0"/>
          </w:tcPr>
          <w:p w:rsidR="009C4872" w:rsidRPr="009C4872" w:rsidRDefault="002570D4" w:rsidP="00673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</w:t>
            </w:r>
            <w:r w:rsidR="00EE639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28" w:type="dxa"/>
          </w:tcPr>
          <w:p w:rsidR="009C4872" w:rsidRDefault="002570D4" w:rsidP="002570D4">
            <w:pPr>
              <w:pStyle w:val="Paragraphedeliste"/>
              <w:numPr>
                <w:ilvl w:val="0"/>
                <w:numId w:val="1"/>
              </w:numPr>
              <w:ind w:left="175" w:hanging="142"/>
            </w:pPr>
            <w:r>
              <w:t>Familiariser les stagiaires aux SFC et à la réalité du monde du travail</w:t>
            </w:r>
          </w:p>
          <w:p w:rsidR="002570D4" w:rsidRPr="009C4872" w:rsidRDefault="002570D4" w:rsidP="002570D4">
            <w:pPr>
              <w:pStyle w:val="Paragraphedeliste"/>
              <w:numPr>
                <w:ilvl w:val="0"/>
                <w:numId w:val="1"/>
              </w:numPr>
              <w:ind w:left="175" w:hanging="142"/>
            </w:pPr>
            <w:r>
              <w:t>Proposer des pistes d’action</w:t>
            </w:r>
          </w:p>
        </w:tc>
        <w:tc>
          <w:tcPr>
            <w:tcW w:w="4395" w:type="dxa"/>
          </w:tcPr>
          <w:p w:rsidR="009C4872" w:rsidRDefault="00146A69" w:rsidP="00EE6399">
            <w:pPr>
              <w:pStyle w:val="Paragraphedeliste"/>
              <w:numPr>
                <w:ilvl w:val="0"/>
                <w:numId w:val="1"/>
              </w:numPr>
              <w:ind w:left="214" w:hanging="214"/>
            </w:pPr>
            <w:r>
              <w:t xml:space="preserve">Détecter, </w:t>
            </w:r>
            <w:r w:rsidR="00EE6399">
              <w:t>évaluer</w:t>
            </w:r>
            <w:r>
              <w:t xml:space="preserve"> et </w:t>
            </w:r>
            <w:r w:rsidR="00DE2C9E">
              <w:t xml:space="preserve">développer </w:t>
            </w:r>
            <w:r w:rsidR="00EE6399">
              <w:t>les SFC en les intégrant dans leur contexte professionnel</w:t>
            </w:r>
          </w:p>
          <w:p w:rsidR="00EE6399" w:rsidRPr="009C4872" w:rsidRDefault="00EE6399" w:rsidP="00EE6399">
            <w:pPr>
              <w:pStyle w:val="Paragraphedeliste"/>
              <w:numPr>
                <w:ilvl w:val="0"/>
                <w:numId w:val="1"/>
              </w:numPr>
              <w:ind w:left="214" w:hanging="214"/>
            </w:pPr>
            <w:r>
              <w:t>Proposer des pistes d’action par la création de supports pédagogiques</w:t>
            </w:r>
          </w:p>
        </w:tc>
        <w:tc>
          <w:tcPr>
            <w:tcW w:w="4394" w:type="dxa"/>
          </w:tcPr>
          <w:p w:rsidR="009C4872" w:rsidRDefault="00765EEF" w:rsidP="00765EEF">
            <w:pPr>
              <w:pStyle w:val="Paragraphedeliste"/>
              <w:numPr>
                <w:ilvl w:val="0"/>
                <w:numId w:val="1"/>
              </w:numPr>
              <w:ind w:left="176" w:hanging="176"/>
            </w:pPr>
            <w:r>
              <w:t>Sensibiliser les stagiaires aux SFC</w:t>
            </w:r>
          </w:p>
          <w:p w:rsidR="00765EEF" w:rsidRPr="009C4872" w:rsidRDefault="00765EEF" w:rsidP="00765EEF">
            <w:pPr>
              <w:pStyle w:val="Paragraphedeliste"/>
              <w:numPr>
                <w:ilvl w:val="0"/>
                <w:numId w:val="1"/>
              </w:numPr>
              <w:ind w:left="176" w:hanging="176"/>
            </w:pPr>
            <w:r>
              <w:t>Proposer des outils supports à l’observation des compétences transversales</w:t>
            </w:r>
          </w:p>
        </w:tc>
      </w:tr>
      <w:tr w:rsidR="00146A69" w:rsidTr="00DE2C9E">
        <w:tc>
          <w:tcPr>
            <w:tcW w:w="2009" w:type="dxa"/>
            <w:shd w:val="clear" w:color="auto" w:fill="00B0F0"/>
          </w:tcPr>
          <w:p w:rsidR="002570D4" w:rsidRPr="009C4872" w:rsidRDefault="002570D4" w:rsidP="005C4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Avantages</w:t>
            </w:r>
          </w:p>
        </w:tc>
        <w:tc>
          <w:tcPr>
            <w:tcW w:w="4228" w:type="dxa"/>
          </w:tcPr>
          <w:p w:rsidR="002570D4" w:rsidRDefault="002570D4" w:rsidP="002570D4">
            <w:pPr>
              <w:pStyle w:val="Paragraphedeliste"/>
              <w:numPr>
                <w:ilvl w:val="0"/>
                <w:numId w:val="1"/>
              </w:numPr>
              <w:ind w:left="175" w:hanging="142"/>
            </w:pPr>
            <w:r>
              <w:t>Démarche participative pour l’apprentissage des SFC et leur application en milieu professionnel</w:t>
            </w:r>
          </w:p>
          <w:p w:rsidR="00146A69" w:rsidRPr="009C4872" w:rsidRDefault="002570D4" w:rsidP="00146A69">
            <w:pPr>
              <w:pStyle w:val="Paragraphedeliste"/>
              <w:numPr>
                <w:ilvl w:val="0"/>
                <w:numId w:val="1"/>
              </w:numPr>
              <w:ind w:left="175" w:hanging="142"/>
            </w:pPr>
            <w:r>
              <w:t xml:space="preserve">Orienté « employabilité » et pas par métier </w:t>
            </w:r>
          </w:p>
        </w:tc>
        <w:tc>
          <w:tcPr>
            <w:tcW w:w="4395" w:type="dxa"/>
          </w:tcPr>
          <w:p w:rsidR="002570D4" w:rsidRPr="009C4872" w:rsidRDefault="00EE6399" w:rsidP="00EE6399">
            <w:pPr>
              <w:pStyle w:val="Paragraphedeliste"/>
              <w:numPr>
                <w:ilvl w:val="0"/>
                <w:numId w:val="1"/>
              </w:numPr>
              <w:ind w:left="214" w:hanging="214"/>
            </w:pPr>
            <w:r>
              <w:t>Présenter différentes méthodes de construction de grille : à partir d’un référentiel, méthode participative…</w:t>
            </w:r>
          </w:p>
        </w:tc>
        <w:tc>
          <w:tcPr>
            <w:tcW w:w="4394" w:type="dxa"/>
          </w:tcPr>
          <w:p w:rsidR="002570D4" w:rsidRDefault="00765EEF" w:rsidP="00765EEF">
            <w:pPr>
              <w:pStyle w:val="Paragraphedeliste"/>
              <w:numPr>
                <w:ilvl w:val="0"/>
                <w:numId w:val="1"/>
              </w:numPr>
              <w:ind w:left="176" w:hanging="142"/>
            </w:pPr>
            <w:r>
              <w:t>Grille d’observation unique avec un langage commun formateur/stagiaire</w:t>
            </w:r>
          </w:p>
          <w:p w:rsidR="00765EEF" w:rsidRPr="009C4872" w:rsidRDefault="00765EEF" w:rsidP="00765EEF">
            <w:pPr>
              <w:pStyle w:val="Paragraphedeliste"/>
              <w:numPr>
                <w:ilvl w:val="0"/>
                <w:numId w:val="1"/>
              </w:numPr>
              <w:ind w:left="176" w:hanging="142"/>
            </w:pPr>
            <w:r>
              <w:t xml:space="preserve">trame de grille adaptable </w:t>
            </w:r>
          </w:p>
        </w:tc>
      </w:tr>
      <w:tr w:rsidR="00146A69" w:rsidTr="00DE2C9E">
        <w:tc>
          <w:tcPr>
            <w:tcW w:w="2009" w:type="dxa"/>
            <w:shd w:val="clear" w:color="auto" w:fill="00B0F0"/>
          </w:tcPr>
          <w:p w:rsidR="00146A69" w:rsidRDefault="00146A69" w:rsidP="005C4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Approche </w:t>
            </w:r>
            <w:r>
              <w:rPr>
                <w:b/>
                <w:sz w:val="24"/>
                <w:szCs w:val="24"/>
              </w:rPr>
              <w:lastRenderedPageBreak/>
              <w:t>méthodologique</w:t>
            </w:r>
          </w:p>
        </w:tc>
        <w:tc>
          <w:tcPr>
            <w:tcW w:w="4228" w:type="dxa"/>
          </w:tcPr>
          <w:p w:rsidR="00146A69" w:rsidRDefault="00146A69" w:rsidP="002570D4">
            <w:pPr>
              <w:pStyle w:val="Paragraphedeliste"/>
              <w:numPr>
                <w:ilvl w:val="0"/>
                <w:numId w:val="1"/>
              </w:numPr>
              <w:ind w:left="175" w:hanging="142"/>
            </w:pPr>
            <w:r>
              <w:lastRenderedPageBreak/>
              <w:t xml:space="preserve">7 thèmes abordés </w:t>
            </w:r>
          </w:p>
        </w:tc>
        <w:tc>
          <w:tcPr>
            <w:tcW w:w="4395" w:type="dxa"/>
          </w:tcPr>
          <w:p w:rsidR="00146A69" w:rsidRDefault="00146A69" w:rsidP="00EE6399">
            <w:pPr>
              <w:pStyle w:val="Paragraphedeliste"/>
              <w:numPr>
                <w:ilvl w:val="0"/>
                <w:numId w:val="1"/>
              </w:numPr>
              <w:ind w:left="214" w:hanging="214"/>
            </w:pPr>
            <w:r>
              <w:t>Approche par compétence</w:t>
            </w:r>
          </w:p>
          <w:p w:rsidR="00146A69" w:rsidRDefault="00146A69" w:rsidP="00EE6399">
            <w:pPr>
              <w:pStyle w:val="Paragraphedeliste"/>
              <w:numPr>
                <w:ilvl w:val="0"/>
                <w:numId w:val="1"/>
              </w:numPr>
              <w:ind w:left="214" w:hanging="214"/>
            </w:pPr>
            <w:r>
              <w:t xml:space="preserve">Recherche et traduction en signes </w:t>
            </w:r>
            <w:r>
              <w:lastRenderedPageBreak/>
              <w:t>observables des SFC en situation professionnelle, sur base d’un référentiel de compétences ressource</w:t>
            </w:r>
          </w:p>
          <w:p w:rsidR="002A6A7A" w:rsidRDefault="002A6A7A" w:rsidP="00EE6399">
            <w:pPr>
              <w:pStyle w:val="Paragraphedeliste"/>
              <w:numPr>
                <w:ilvl w:val="0"/>
                <w:numId w:val="1"/>
              </w:numPr>
              <w:ind w:left="214" w:hanging="214"/>
            </w:pPr>
            <w:r>
              <w:t>Méthode participative de construction de la grille</w:t>
            </w:r>
          </w:p>
        </w:tc>
        <w:tc>
          <w:tcPr>
            <w:tcW w:w="4394" w:type="dxa"/>
          </w:tcPr>
          <w:p w:rsidR="00146A69" w:rsidRDefault="00146A69" w:rsidP="00765EEF">
            <w:pPr>
              <w:pStyle w:val="Paragraphedeliste"/>
              <w:numPr>
                <w:ilvl w:val="0"/>
                <w:numId w:val="1"/>
              </w:numPr>
              <w:ind w:left="176" w:hanging="142"/>
            </w:pPr>
            <w:r>
              <w:lastRenderedPageBreak/>
              <w:t>Elaboration des grilles par des professionnelles</w:t>
            </w:r>
          </w:p>
          <w:p w:rsidR="00146A69" w:rsidRDefault="00146A69" w:rsidP="00765EEF">
            <w:pPr>
              <w:pStyle w:val="Paragraphedeliste"/>
              <w:numPr>
                <w:ilvl w:val="0"/>
                <w:numId w:val="1"/>
              </w:numPr>
              <w:ind w:left="176" w:hanging="142"/>
            </w:pPr>
            <w:r>
              <w:lastRenderedPageBreak/>
              <w:t>Traduction des SFC en indicateurs, signes observables</w:t>
            </w:r>
          </w:p>
        </w:tc>
      </w:tr>
      <w:tr w:rsidR="00146A69" w:rsidTr="00DE2C9E">
        <w:tc>
          <w:tcPr>
            <w:tcW w:w="2009" w:type="dxa"/>
            <w:shd w:val="clear" w:color="auto" w:fill="00B0F0"/>
          </w:tcPr>
          <w:p w:rsidR="00146A69" w:rsidRDefault="00146A69" w:rsidP="005C4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Démarche pédagogique</w:t>
            </w:r>
          </w:p>
        </w:tc>
        <w:tc>
          <w:tcPr>
            <w:tcW w:w="4228" w:type="dxa"/>
          </w:tcPr>
          <w:p w:rsidR="00146A69" w:rsidRDefault="002A6A7A" w:rsidP="002A6A7A">
            <w:pPr>
              <w:pStyle w:val="Paragraphedeliste"/>
              <w:numPr>
                <w:ilvl w:val="0"/>
                <w:numId w:val="1"/>
              </w:numPr>
            </w:pPr>
            <w:r>
              <w:t>Brainstorming</w:t>
            </w:r>
          </w:p>
          <w:p w:rsidR="002A6A7A" w:rsidRDefault="002A6A7A" w:rsidP="002A6A7A">
            <w:pPr>
              <w:pStyle w:val="Paragraphedeliste"/>
              <w:numPr>
                <w:ilvl w:val="0"/>
                <w:numId w:val="1"/>
              </w:numPr>
            </w:pPr>
            <w:r>
              <w:t>Mise en situation</w:t>
            </w:r>
          </w:p>
          <w:p w:rsidR="002A6A7A" w:rsidRDefault="002A6A7A" w:rsidP="002A6A7A">
            <w:pPr>
              <w:pStyle w:val="Paragraphedeliste"/>
              <w:numPr>
                <w:ilvl w:val="0"/>
                <w:numId w:val="1"/>
              </w:numPr>
            </w:pPr>
            <w:r>
              <w:t>Synthèse</w:t>
            </w:r>
          </w:p>
        </w:tc>
        <w:tc>
          <w:tcPr>
            <w:tcW w:w="4395" w:type="dxa"/>
          </w:tcPr>
          <w:p w:rsidR="00146A69" w:rsidRDefault="002A6A7A" w:rsidP="00EE6399">
            <w:pPr>
              <w:pStyle w:val="Paragraphedeliste"/>
              <w:numPr>
                <w:ilvl w:val="0"/>
                <w:numId w:val="1"/>
              </w:numPr>
              <w:ind w:left="214" w:hanging="214"/>
            </w:pPr>
            <w:r>
              <w:t>Mise en situation</w:t>
            </w:r>
          </w:p>
          <w:p w:rsidR="002A6A7A" w:rsidRDefault="002A6A7A" w:rsidP="00EE6399">
            <w:pPr>
              <w:pStyle w:val="Paragraphedeliste"/>
              <w:numPr>
                <w:ilvl w:val="0"/>
                <w:numId w:val="1"/>
              </w:numPr>
              <w:ind w:left="214" w:hanging="214"/>
            </w:pPr>
            <w:r>
              <w:t>Autoévaluation</w:t>
            </w:r>
          </w:p>
        </w:tc>
        <w:tc>
          <w:tcPr>
            <w:tcW w:w="4394" w:type="dxa"/>
          </w:tcPr>
          <w:p w:rsidR="00146A69" w:rsidRDefault="002A6A7A" w:rsidP="00765EEF">
            <w:pPr>
              <w:pStyle w:val="Paragraphedeliste"/>
              <w:numPr>
                <w:ilvl w:val="0"/>
                <w:numId w:val="1"/>
              </w:numPr>
              <w:ind w:left="176" w:hanging="142"/>
            </w:pPr>
            <w:r>
              <w:t xml:space="preserve">Evaluation </w:t>
            </w:r>
          </w:p>
          <w:p w:rsidR="002A6A7A" w:rsidRDefault="002A6A7A" w:rsidP="00765EEF">
            <w:pPr>
              <w:pStyle w:val="Paragraphedeliste"/>
              <w:numPr>
                <w:ilvl w:val="0"/>
                <w:numId w:val="1"/>
              </w:numPr>
              <w:ind w:left="176" w:hanging="142"/>
            </w:pPr>
            <w:r>
              <w:t>Auto-évaluation</w:t>
            </w:r>
          </w:p>
        </w:tc>
      </w:tr>
      <w:tr w:rsidR="00146A69" w:rsidTr="00DE2C9E">
        <w:tc>
          <w:tcPr>
            <w:tcW w:w="2009" w:type="dxa"/>
            <w:shd w:val="clear" w:color="auto" w:fill="00B0F0"/>
          </w:tcPr>
          <w:p w:rsidR="002570D4" w:rsidRPr="009C4872" w:rsidRDefault="002570D4" w:rsidP="005C4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Conditions de transfert </w:t>
            </w:r>
          </w:p>
        </w:tc>
        <w:tc>
          <w:tcPr>
            <w:tcW w:w="4228" w:type="dxa"/>
          </w:tcPr>
          <w:p w:rsidR="002570D4" w:rsidRPr="009C4872" w:rsidRDefault="002570D4" w:rsidP="009C4872">
            <w:r>
              <w:t>Reconstruire le support de référence</w:t>
            </w:r>
          </w:p>
        </w:tc>
        <w:tc>
          <w:tcPr>
            <w:tcW w:w="4395" w:type="dxa"/>
          </w:tcPr>
          <w:p w:rsidR="002570D4" w:rsidRDefault="00EE6399" w:rsidP="00EE6399">
            <w:pPr>
              <w:pStyle w:val="Paragraphedeliste"/>
              <w:numPr>
                <w:ilvl w:val="0"/>
                <w:numId w:val="1"/>
              </w:numPr>
              <w:ind w:left="214" w:hanging="214"/>
            </w:pPr>
            <w:r>
              <w:t>Reconstruire les référentiels de compétences transversales pour le métier ciblé</w:t>
            </w:r>
          </w:p>
          <w:p w:rsidR="00EE6399" w:rsidRPr="009C4872" w:rsidRDefault="00EE6399" w:rsidP="00EE6399">
            <w:pPr>
              <w:pStyle w:val="Paragraphedeliste"/>
              <w:numPr>
                <w:ilvl w:val="0"/>
                <w:numId w:val="1"/>
              </w:numPr>
              <w:ind w:left="214" w:hanging="214"/>
            </w:pPr>
            <w:r>
              <w:t>Reconstruire le support de référence</w:t>
            </w:r>
          </w:p>
        </w:tc>
        <w:tc>
          <w:tcPr>
            <w:tcW w:w="4394" w:type="dxa"/>
          </w:tcPr>
          <w:p w:rsidR="002570D4" w:rsidRPr="009C4872" w:rsidRDefault="00765EEF" w:rsidP="00765EEF">
            <w:pPr>
              <w:pStyle w:val="Paragraphedeliste"/>
              <w:numPr>
                <w:ilvl w:val="0"/>
                <w:numId w:val="1"/>
              </w:numPr>
              <w:ind w:left="176" w:hanging="142"/>
            </w:pPr>
            <w:r>
              <w:t xml:space="preserve">Adapter les signes observables au métier concerné </w:t>
            </w:r>
          </w:p>
        </w:tc>
      </w:tr>
    </w:tbl>
    <w:p w:rsidR="009C4872" w:rsidRDefault="009C4872" w:rsidP="00DE2C9E">
      <w:pPr>
        <w:rPr>
          <w:sz w:val="28"/>
          <w:szCs w:val="28"/>
        </w:rPr>
      </w:pPr>
    </w:p>
    <w:sectPr w:rsidR="009C4872" w:rsidSect="00DE2C9E">
      <w:headerReference w:type="default" r:id="rId8"/>
      <w:pgSz w:w="16838" w:h="11906" w:orient="landscape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90" w:rsidRDefault="005F7D90" w:rsidP="00DE2C9E">
      <w:pPr>
        <w:spacing w:after="0" w:line="240" w:lineRule="auto"/>
      </w:pPr>
      <w:r>
        <w:separator/>
      </w:r>
    </w:p>
  </w:endnote>
  <w:endnote w:type="continuationSeparator" w:id="0">
    <w:p w:rsidR="005F7D90" w:rsidRDefault="005F7D90" w:rsidP="00DE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90" w:rsidRDefault="005F7D90" w:rsidP="00DE2C9E">
      <w:pPr>
        <w:spacing w:after="0" w:line="240" w:lineRule="auto"/>
      </w:pPr>
      <w:r>
        <w:separator/>
      </w:r>
    </w:p>
  </w:footnote>
  <w:footnote w:type="continuationSeparator" w:id="0">
    <w:p w:rsidR="005F7D90" w:rsidRDefault="005F7D90" w:rsidP="00DE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9E" w:rsidRDefault="00DE2C9E">
    <w:pPr>
      <w:pStyle w:val="En-tte"/>
    </w:pPr>
    <w:r>
      <w:rPr>
        <w:b/>
        <w:noProof/>
        <w:sz w:val="28"/>
        <w:szCs w:val="28"/>
        <w:lang w:eastAsia="fr-BE"/>
      </w:rPr>
      <w:drawing>
        <wp:inline distT="0" distB="0" distL="0" distR="0" wp14:anchorId="2D43B97A" wp14:editId="1A2F397E">
          <wp:extent cx="441706" cy="581692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C-S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009" cy="586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236E"/>
    <w:multiLevelType w:val="hybridMultilevel"/>
    <w:tmpl w:val="00B43226"/>
    <w:lvl w:ilvl="0" w:tplc="61FEE8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C1C49"/>
    <w:multiLevelType w:val="hybridMultilevel"/>
    <w:tmpl w:val="71764A30"/>
    <w:lvl w:ilvl="0" w:tplc="D9FC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01AB7"/>
    <w:multiLevelType w:val="hybridMultilevel"/>
    <w:tmpl w:val="46A81276"/>
    <w:lvl w:ilvl="0" w:tplc="D6D2C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C8"/>
    <w:rsid w:val="00061691"/>
    <w:rsid w:val="00087519"/>
    <w:rsid w:val="00146A69"/>
    <w:rsid w:val="001D305A"/>
    <w:rsid w:val="00237BD7"/>
    <w:rsid w:val="002570D4"/>
    <w:rsid w:val="002A6A7A"/>
    <w:rsid w:val="0052226B"/>
    <w:rsid w:val="00573CA9"/>
    <w:rsid w:val="005F7D90"/>
    <w:rsid w:val="00765EEF"/>
    <w:rsid w:val="007C1EE8"/>
    <w:rsid w:val="00916889"/>
    <w:rsid w:val="009C4872"/>
    <w:rsid w:val="00A05AE2"/>
    <w:rsid w:val="00AB3F3B"/>
    <w:rsid w:val="00B045CD"/>
    <w:rsid w:val="00B366C8"/>
    <w:rsid w:val="00B61CBE"/>
    <w:rsid w:val="00D17ED9"/>
    <w:rsid w:val="00D24243"/>
    <w:rsid w:val="00DE2C9E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48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C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C9E"/>
  </w:style>
  <w:style w:type="paragraph" w:styleId="Pieddepage">
    <w:name w:val="footer"/>
    <w:basedOn w:val="Normal"/>
    <w:link w:val="PieddepageCar"/>
    <w:uiPriority w:val="99"/>
    <w:unhideWhenUsed/>
    <w:rsid w:val="00DE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48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C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C9E"/>
  </w:style>
  <w:style w:type="paragraph" w:styleId="Pieddepage">
    <w:name w:val="footer"/>
    <w:basedOn w:val="Normal"/>
    <w:link w:val="PieddepageCar"/>
    <w:uiPriority w:val="99"/>
    <w:unhideWhenUsed/>
    <w:rsid w:val="00DE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Forem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Demeuse Aurélie</dc:creator>
  <cp:lastModifiedBy>Administrateur</cp:lastModifiedBy>
  <cp:revision>2</cp:revision>
  <dcterms:created xsi:type="dcterms:W3CDTF">2015-07-29T14:42:00Z</dcterms:created>
  <dcterms:modified xsi:type="dcterms:W3CDTF">2015-07-29T14:42:00Z</dcterms:modified>
</cp:coreProperties>
</file>